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340"/>
        <w:gridCol w:w="2160"/>
        <w:gridCol w:w="270"/>
        <w:gridCol w:w="2160"/>
        <w:gridCol w:w="2160"/>
        <w:gridCol w:w="2330"/>
        <w:gridCol w:w="184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8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FF7D29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FC3BE2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November </w:t>
            </w:r>
            <w:r w:rsidR="00FF7D29">
              <w:rPr>
                <w:rFonts w:ascii="Century Gothic" w:hAnsi="Century Gothic" w:cs="Arial"/>
                <w:b w:val="0"/>
                <w:color w:val="FF0000"/>
                <w:szCs w:val="36"/>
              </w:rPr>
              <w:t>14-18</w:t>
            </w:r>
            <w:r w:rsidR="00FC3BE2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F45E98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2016</w:t>
            </w:r>
          </w:p>
        </w:tc>
      </w:tr>
      <w:tr w:rsidR="00E518E6" w:rsidTr="00FF7D29">
        <w:trPr>
          <w:cantSplit/>
          <w:trHeight w:val="413"/>
        </w:trPr>
        <w:tc>
          <w:tcPr>
            <w:tcW w:w="1710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:rsidR="00E518E6" w:rsidRPr="003919D5" w:rsidRDefault="000F6E64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88639A" w:rsidRPr="00FF1675" w:rsidRDefault="0088639A" w:rsidP="000A7CEA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3399"/>
                <w:sz w:val="18"/>
                <w:szCs w:val="18"/>
              </w:rPr>
            </w:pPr>
          </w:p>
          <w:p w:rsidR="008D0F17" w:rsidRPr="00FF1675" w:rsidRDefault="008D0F17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Social Studies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</w:t>
            </w:r>
            <w:r w:rsidR="0016029C">
              <w:rPr>
                <w:rFonts w:ascii="Century Gothic" w:hAnsi="Century Gothic" w:cs="Agent Orange"/>
                <w:sz w:val="22"/>
                <w:szCs w:val="22"/>
              </w:rPr>
              <w:t xml:space="preserve">  </w:t>
            </w:r>
            <w:r w:rsidR="00FF7D29">
              <w:rPr>
                <w:rFonts w:ascii="Century Gothic" w:hAnsi="Century Gothic" w:cs="Agent Orange"/>
                <w:sz w:val="22"/>
                <w:szCs w:val="22"/>
              </w:rPr>
              <w:t xml:space="preserve">Thanksgiving 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Writing: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Words That Link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Phonics: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Make a Match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Main Idea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Success Maker 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D0F17" w:rsidRPr="003919D5" w:rsidRDefault="003919D5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Spelling Words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/>
                <w:bCs/>
                <w:color w:val="FF0000"/>
                <w:szCs w:val="32"/>
              </w:rPr>
              <w:t>Read AR Books every night</w:t>
            </w:r>
          </w:p>
          <w:p w:rsid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FF7D29">
        <w:trPr>
          <w:cantSplit/>
          <w:trHeight w:val="892"/>
        </w:trPr>
        <w:tc>
          <w:tcPr>
            <w:tcW w:w="1710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3919D5" w:rsidRDefault="00987A65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526AA3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526AA3" w:rsidRPr="003919D5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Default="000C74FD" w:rsidP="000C74FD">
            <w:pPr>
              <w:jc w:val="center"/>
              <w:rPr>
                <w:rFonts w:ascii="Century Gothic" w:hAnsi="Century Gothic"/>
                <w:bCs/>
                <w:sz w:val="18"/>
                <w:u w:val="single"/>
              </w:rPr>
            </w:pPr>
            <w:r>
              <w:rPr>
                <w:rFonts w:ascii="Century Gothic" w:hAnsi="Century Gothic"/>
                <w:bCs/>
                <w:sz w:val="18"/>
                <w:u w:val="single"/>
              </w:rPr>
              <w:t>Spelling Words</w:t>
            </w:r>
          </w:p>
          <w:p w:rsidR="006E3C4F" w:rsidRPr="003919D5" w:rsidRDefault="00FF7D29" w:rsidP="00FC3BE2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 w:cs="Calibri"/>
                <w:sz w:val="18"/>
              </w:rPr>
              <w:t>Nail, train, main, hay, stay, break, steak, weigh, sleigh, prey, scrape, strange, good, often, two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45E98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Review Words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FF7D29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Authors Purpose/Main Idea</w:t>
            </w:r>
          </w:p>
          <w:p w:rsidR="00FC3BE2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Because of Winn Dixie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Default="00F45E98" w:rsidP="00F45E98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</w:p>
          <w:p w:rsidR="00F45E98" w:rsidRPr="00F45E98" w:rsidRDefault="00F45E98" w:rsidP="00F45E98">
            <w:pPr>
              <w:rPr>
                <w:rFonts w:ascii="Century Gothic" w:hAnsi="Century Gothic"/>
                <w:color w:val="FF0000"/>
                <w:szCs w:val="16"/>
              </w:rPr>
            </w:pPr>
          </w:p>
          <w:p w:rsidR="008C11DA" w:rsidRPr="008C11DA" w:rsidRDefault="008C11DA" w:rsidP="008C11D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40A0" w:rsidRDefault="00BB40A0" w:rsidP="00F30070">
            <w:pPr>
              <w:pStyle w:val="NormalWeb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52C36" w:rsidRDefault="00FC3BE2" w:rsidP="00F45E98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FC3BE2" w:rsidRDefault="00FC3BE2" w:rsidP="00FF7D2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Because of Winn Dixie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Character Analysis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Common Core Writing: Scientist Use Tools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C3BE2" w:rsidRPr="00FF1675" w:rsidRDefault="00FC3BE2" w:rsidP="00F45E9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0623DA" w:rsidRDefault="000623DA" w:rsidP="00352FF1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P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FF7D29">
              <w:rPr>
                <w:rFonts w:ascii="Century Gothic" w:hAnsi="Century Gothic"/>
                <w:color w:val="FF0000"/>
                <w:sz w:val="18"/>
                <w:szCs w:val="20"/>
              </w:rPr>
              <w:t>Common Core Science Tools Lesson</w:t>
            </w:r>
          </w:p>
          <w:p w:rsidR="00FC3BE2" w:rsidRPr="00FF7D29" w:rsidRDefault="00FC3BE2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FF7D29">
              <w:rPr>
                <w:rFonts w:ascii="Century Gothic" w:hAnsi="Century Gothic"/>
                <w:color w:val="FF0000"/>
                <w:sz w:val="18"/>
                <w:szCs w:val="20"/>
              </w:rPr>
              <w:t>Spelling Review</w:t>
            </w:r>
          </w:p>
          <w:p w:rsid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F7D29" w:rsidRP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Main Idea</w:t>
            </w:r>
          </w:p>
          <w:p w:rsidR="00FF7D29" w:rsidRP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0C74FD" w:rsidRP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FF7D29">
              <w:rPr>
                <w:rFonts w:ascii="Century Gothic" w:hAnsi="Century Gothic"/>
                <w:color w:val="FF0000"/>
                <w:sz w:val="18"/>
                <w:szCs w:val="20"/>
              </w:rPr>
              <w:t>Short Switches</w:t>
            </w:r>
          </w:p>
          <w:p w:rsidR="00FF7D29" w:rsidRPr="00FF1675" w:rsidRDefault="00FF7D29" w:rsidP="00A81D7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C46A4" w:rsidRPr="00FF1675" w:rsidRDefault="00AC46A4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FF7D29" w:rsidP="00FC3BE2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Because of Winn Dixie Book Summary</w:t>
            </w:r>
          </w:p>
          <w:p w:rsidR="00FC3BE2" w:rsidRDefault="00FC3BE2" w:rsidP="00FC3BE2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Book and AR Test</w:t>
            </w: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Reading Skills: Main Idea and Authors Purpose</w:t>
            </w:r>
          </w:p>
          <w:p w:rsidR="00FC3BE2" w:rsidRDefault="00FC3BE2" w:rsidP="00FC3BE2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8C11DA" w:rsidRPr="008C11DA" w:rsidRDefault="008C11DA" w:rsidP="008C11DA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8976DA" w:rsidRDefault="008976DA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FC3BE2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Unit Three Week One Assessment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Pr="00FF1675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Thanksgiving Centers </w:t>
            </w:r>
          </w:p>
        </w:tc>
        <w:tc>
          <w:tcPr>
            <w:tcW w:w="184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FF7D29">
        <w:trPr>
          <w:cantSplit/>
          <w:trHeight w:val="278"/>
        </w:trPr>
        <w:tc>
          <w:tcPr>
            <w:tcW w:w="1710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78"/>
        </w:trPr>
        <w:tc>
          <w:tcPr>
            <w:tcW w:w="1710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184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FF7D29">
        <w:trPr>
          <w:cantSplit/>
          <w:trHeight w:val="269"/>
        </w:trPr>
        <w:tc>
          <w:tcPr>
            <w:tcW w:w="1710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141"/>
        </w:trPr>
        <w:tc>
          <w:tcPr>
            <w:tcW w:w="1710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:rsidR="00FD0242" w:rsidRDefault="00FD0242" w:rsidP="00FD024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130399">
              <w:rPr>
                <w:rFonts w:ascii="Century Gothic" w:hAnsi="Century Gothic"/>
                <w:color w:val="FF0000"/>
                <w:sz w:val="18"/>
                <w:szCs w:val="16"/>
              </w:rPr>
              <w:t>Homework and Red Folders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Review Words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 Words in Context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Authors Purpose/Main Idea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Because of Winn Dixie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Pr="00FF1675" w:rsidRDefault="00F45E98" w:rsidP="00FC3BE2">
            <w:pPr>
              <w:pStyle w:val="NormalWeb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Spelling Words</w:t>
            </w:r>
          </w:p>
          <w:p w:rsidR="00FF7D29" w:rsidRDefault="00FF7D29" w:rsidP="00FF7D2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Book Study: Because of Winn Dixie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Character Analysis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Common Core Writing: Scientist Use Tools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0623DA" w:rsidRPr="00FF1675" w:rsidRDefault="000623DA" w:rsidP="00F45E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P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FF7D29">
              <w:rPr>
                <w:rFonts w:ascii="Century Gothic" w:hAnsi="Century Gothic"/>
                <w:color w:val="FF0000"/>
                <w:sz w:val="18"/>
                <w:szCs w:val="20"/>
              </w:rPr>
              <w:t>Common Core Science Tools Lesson</w:t>
            </w:r>
          </w:p>
          <w:p w:rsidR="00FF7D29" w:rsidRP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FF7D29">
              <w:rPr>
                <w:rFonts w:ascii="Century Gothic" w:hAnsi="Century Gothic"/>
                <w:color w:val="FF0000"/>
                <w:sz w:val="18"/>
                <w:szCs w:val="20"/>
              </w:rPr>
              <w:t>Spelling Review</w:t>
            </w:r>
          </w:p>
          <w:p w:rsid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F7D29" w:rsidRP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Main Idea</w:t>
            </w:r>
          </w:p>
          <w:p w:rsidR="00FF7D29" w:rsidRP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FF7D29" w:rsidRP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FF7D29">
              <w:rPr>
                <w:rFonts w:ascii="Century Gothic" w:hAnsi="Century Gothic"/>
                <w:color w:val="FF0000"/>
                <w:sz w:val="18"/>
                <w:szCs w:val="20"/>
              </w:rPr>
              <w:t>Short Switches</w:t>
            </w:r>
          </w:p>
          <w:p w:rsidR="00987A65" w:rsidRPr="00125923" w:rsidRDefault="00987A65" w:rsidP="00FC3BE2">
            <w:pPr>
              <w:pStyle w:val="NormalWeb"/>
              <w:jc w:val="center"/>
              <w:rPr>
                <w:rFonts w:ascii="Century Gothic" w:hAnsi="Century Gothic"/>
                <w:sz w:val="36"/>
                <w:szCs w:val="18"/>
              </w:rPr>
            </w:pPr>
          </w:p>
        </w:tc>
        <w:tc>
          <w:tcPr>
            <w:tcW w:w="2160" w:type="dxa"/>
          </w:tcPr>
          <w:p w:rsidR="00806695" w:rsidRDefault="00806695" w:rsidP="00806695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8"/>
              </w:rPr>
              <w:t>Because of Winn Dixie Book Summary</w:t>
            </w:r>
          </w:p>
          <w:p w:rsidR="00FF7D29" w:rsidRDefault="00FF7D29" w:rsidP="00FF7D29">
            <w:pPr>
              <w:pStyle w:val="NormalWeb"/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Book and AR Test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Reading Skills: Main Idea and Authors Purpose</w:t>
            </w:r>
          </w:p>
          <w:p w:rsidR="00FF7D29" w:rsidRDefault="00FF7D29" w:rsidP="00FF7D29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45E98" w:rsidRDefault="00F45E98" w:rsidP="00F45E98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  <w:p w:rsidR="00987A65" w:rsidRPr="00FF1675" w:rsidRDefault="00987A65" w:rsidP="00F45E98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Unit Three Week One Assessment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Assessment</w:t>
            </w:r>
          </w:p>
          <w:p w:rsidR="00FF7D29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45E98" w:rsidRDefault="00FF7D29" w:rsidP="00FF7D2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Thanksgiving Centers</w:t>
            </w:r>
          </w:p>
          <w:p w:rsidR="00987A65" w:rsidRDefault="00987A65" w:rsidP="00FC3BE2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  <w:p w:rsidR="00FF7D29" w:rsidRPr="00FF1675" w:rsidRDefault="00FF7D29" w:rsidP="00FC3BE2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FF7D29">
              <w:rPr>
                <w:rFonts w:ascii="Century Gothic" w:hAnsi="Century Gothic"/>
                <w:i/>
                <w:sz w:val="36"/>
                <w:szCs w:val="18"/>
              </w:rPr>
              <w:t xml:space="preserve">Enjoy Your Thanksgiving Break </w:t>
            </w:r>
            <w:r w:rsidRPr="00FF7D29">
              <w:rPr>
                <w:rFonts w:ascii="Century Gothic" w:hAnsi="Century Gothic"/>
                <w:i/>
                <w:sz w:val="36"/>
                <w:szCs w:val="18"/>
              </w:rPr>
              <w:sym w:font="Wingdings" w:char="F04A"/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418"/>
        </w:trPr>
        <w:tc>
          <w:tcPr>
            <w:tcW w:w="1710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25923"/>
    <w:rsid w:val="00130399"/>
    <w:rsid w:val="00132511"/>
    <w:rsid w:val="00152C36"/>
    <w:rsid w:val="0016029C"/>
    <w:rsid w:val="00176F23"/>
    <w:rsid w:val="00193D7E"/>
    <w:rsid w:val="001A38D8"/>
    <w:rsid w:val="001A6D2E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94352"/>
    <w:rsid w:val="002B053C"/>
    <w:rsid w:val="002B69CA"/>
    <w:rsid w:val="00314790"/>
    <w:rsid w:val="003201EE"/>
    <w:rsid w:val="0035205B"/>
    <w:rsid w:val="00352FF1"/>
    <w:rsid w:val="003546F7"/>
    <w:rsid w:val="0036587B"/>
    <w:rsid w:val="0038420F"/>
    <w:rsid w:val="003919D5"/>
    <w:rsid w:val="00392075"/>
    <w:rsid w:val="00392B42"/>
    <w:rsid w:val="00397974"/>
    <w:rsid w:val="003A58A9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5ADD"/>
    <w:rsid w:val="004769C5"/>
    <w:rsid w:val="004C0343"/>
    <w:rsid w:val="004F2B97"/>
    <w:rsid w:val="004F3099"/>
    <w:rsid w:val="00503354"/>
    <w:rsid w:val="005151CA"/>
    <w:rsid w:val="00526AA3"/>
    <w:rsid w:val="00552E17"/>
    <w:rsid w:val="00566CF4"/>
    <w:rsid w:val="005A5139"/>
    <w:rsid w:val="005A7C15"/>
    <w:rsid w:val="005B13AF"/>
    <w:rsid w:val="005B3100"/>
    <w:rsid w:val="005B36CE"/>
    <w:rsid w:val="005D1169"/>
    <w:rsid w:val="005E1C6B"/>
    <w:rsid w:val="005E282E"/>
    <w:rsid w:val="005E4F07"/>
    <w:rsid w:val="0060602D"/>
    <w:rsid w:val="00624891"/>
    <w:rsid w:val="006313BA"/>
    <w:rsid w:val="00652387"/>
    <w:rsid w:val="006545CE"/>
    <w:rsid w:val="00655D4F"/>
    <w:rsid w:val="00671608"/>
    <w:rsid w:val="006825D3"/>
    <w:rsid w:val="00683102"/>
    <w:rsid w:val="00694CB2"/>
    <w:rsid w:val="006B3AC8"/>
    <w:rsid w:val="006B635D"/>
    <w:rsid w:val="006B79DF"/>
    <w:rsid w:val="006D1275"/>
    <w:rsid w:val="006E3C4F"/>
    <w:rsid w:val="007179A1"/>
    <w:rsid w:val="00732B44"/>
    <w:rsid w:val="0074154A"/>
    <w:rsid w:val="00752DEF"/>
    <w:rsid w:val="00760731"/>
    <w:rsid w:val="0076789B"/>
    <w:rsid w:val="00775DB9"/>
    <w:rsid w:val="00795C95"/>
    <w:rsid w:val="007966B9"/>
    <w:rsid w:val="007A2671"/>
    <w:rsid w:val="007E3873"/>
    <w:rsid w:val="007F3183"/>
    <w:rsid w:val="007F5AA3"/>
    <w:rsid w:val="00801E2B"/>
    <w:rsid w:val="00806695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F2217"/>
    <w:rsid w:val="00902F51"/>
    <w:rsid w:val="00921851"/>
    <w:rsid w:val="00924E1E"/>
    <w:rsid w:val="00946D56"/>
    <w:rsid w:val="00987A65"/>
    <w:rsid w:val="00993999"/>
    <w:rsid w:val="009A39A0"/>
    <w:rsid w:val="009A75C3"/>
    <w:rsid w:val="009B41F9"/>
    <w:rsid w:val="009B70C8"/>
    <w:rsid w:val="00A259FA"/>
    <w:rsid w:val="00A27E7A"/>
    <w:rsid w:val="00A35165"/>
    <w:rsid w:val="00A461A3"/>
    <w:rsid w:val="00A724FD"/>
    <w:rsid w:val="00A81D78"/>
    <w:rsid w:val="00AA28A3"/>
    <w:rsid w:val="00AC46A4"/>
    <w:rsid w:val="00AD4919"/>
    <w:rsid w:val="00B0354E"/>
    <w:rsid w:val="00B217CE"/>
    <w:rsid w:val="00B24BD1"/>
    <w:rsid w:val="00B40D37"/>
    <w:rsid w:val="00B42475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D11AD2"/>
    <w:rsid w:val="00D1572E"/>
    <w:rsid w:val="00D463C1"/>
    <w:rsid w:val="00D73386"/>
    <w:rsid w:val="00D84064"/>
    <w:rsid w:val="00D927CD"/>
    <w:rsid w:val="00DA649C"/>
    <w:rsid w:val="00DD1E3E"/>
    <w:rsid w:val="00DE52E1"/>
    <w:rsid w:val="00E03C19"/>
    <w:rsid w:val="00E518E6"/>
    <w:rsid w:val="00E66E67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45E98"/>
    <w:rsid w:val="00F5341B"/>
    <w:rsid w:val="00FB648C"/>
    <w:rsid w:val="00FC07E3"/>
    <w:rsid w:val="00FC3BE2"/>
    <w:rsid w:val="00FD0242"/>
    <w:rsid w:val="00FE44C9"/>
    <w:rsid w:val="00FE5500"/>
    <w:rsid w:val="00FF16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97599-5413-4FC2-BF88-16B8610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9418-90CA-4150-B3EC-D7E6BEDFB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2016-11-17T18:33:00Z</dcterms:created>
  <dcterms:modified xsi:type="dcterms:W3CDTF">2016-11-17T18:33:00Z</dcterms:modified>
</cp:coreProperties>
</file>